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spacing w:after="0" w:line="264" w:lineRule="auto"/>
        <w:ind w:firstLine="60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Аннотация к рабочей программе учебного курса «Вероятность и статистика». Базовый уровень.                  </w:t>
      </w:r>
    </w:p>
    <w:p w14:paraId="02000000">
      <w:pPr>
        <w:widowControl w:val="1"/>
        <w:spacing w:after="0" w:line="264" w:lineRule="auto"/>
        <w:ind w:firstLine="60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   11 класс</w:t>
      </w:r>
    </w:p>
    <w:p w14:paraId="03000000">
      <w:pPr>
        <w:widowControl w:val="1"/>
        <w:spacing w:after="0" w:line="264" w:lineRule="auto"/>
        <w:ind w:firstLine="600"/>
        <w:jc w:val="both"/>
        <w:rPr>
          <w:sz w:val="24"/>
        </w:rPr>
      </w:pPr>
    </w:p>
    <w:p w14:paraId="04000000">
      <w:pPr>
        <w:widowControl w:val="1"/>
        <w:spacing w:after="0" w:line="264" w:lineRule="auto"/>
        <w:ind w:firstLine="600"/>
        <w:jc w:val="both"/>
        <w:rPr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Рабочая программа учебного курса «Вероятность и статистика» базового уровня для обучающихся 11 класса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 </w:t>
      </w:r>
    </w:p>
    <w:p w14:paraId="05000000">
      <w:pPr>
        <w:widowControl w:val="1"/>
        <w:spacing w:after="0" w:line="264" w:lineRule="auto"/>
        <w:ind w:left="120"/>
        <w:jc w:val="both"/>
        <w:rPr>
          <w:sz w:val="24"/>
        </w:rPr>
      </w:pPr>
    </w:p>
    <w:p w14:paraId="06000000">
      <w:pPr>
        <w:widowControl w:val="1"/>
        <w:spacing w:after="0" w:line="264" w:lineRule="auto"/>
        <w:ind w:left="120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Ц</w:t>
      </w:r>
      <w:r>
        <w:rPr>
          <w:rFonts w:ascii="Times New Roman" w:hAnsi="Times New Roman"/>
          <w:b w:val="1"/>
          <w:sz w:val="24"/>
        </w:rPr>
        <w:t>ели изучения учебного курса</w:t>
      </w:r>
    </w:p>
    <w:p w14:paraId="07000000">
      <w:pPr>
        <w:widowControl w:val="1"/>
        <w:spacing w:after="0" w:line="264" w:lineRule="auto"/>
        <w:ind w:left="120"/>
        <w:jc w:val="both"/>
        <w:rPr>
          <w:rFonts w:ascii="Times New Roman" w:hAnsi="Times New Roman"/>
          <w:sz w:val="24"/>
        </w:rPr>
      </w:pPr>
    </w:p>
    <w:p w14:paraId="08000000">
      <w:pPr>
        <w:widowControl w:val="1"/>
        <w:spacing w:after="0" w:line="264" w:lineRule="auto"/>
        <w:ind w:firstLine="600"/>
        <w:jc w:val="both"/>
        <w:rPr>
          <w:sz w:val="24"/>
        </w:rPr>
      </w:pPr>
      <w:r>
        <w:rPr>
          <w:rFonts w:ascii="Times New Roman" w:hAnsi="Times New Roman"/>
          <w:color w:val="000000"/>
          <w:sz w:val="24"/>
        </w:rPr>
        <w:t>Учебный курс «Вероятность и статистика» базового уровня является продолжением и развитием одноимённого учебного курса базового уровня основной школы.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учащихся о методах исследования изменчивого мира, развивается понимание значимости и общности математических методов познания как неотъемлемой части современного естественно-научного мировоззрения.</w:t>
      </w:r>
    </w:p>
    <w:p w14:paraId="09000000">
      <w:pPr>
        <w:widowControl w:val="1"/>
        <w:spacing w:after="0" w:line="264" w:lineRule="auto"/>
        <w:ind w:firstLine="600"/>
        <w:jc w:val="both"/>
        <w:rPr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Содержание курса направлено на закрепление знаний, полученных при изучении курса основной школы и на развитие представлений о случайных величинах и взаимосвязях между ними на важных примерах, сюжеты которых почерпнуты из окружающего мира. </w:t>
      </w:r>
    </w:p>
    <w:p w14:paraId="0A000000">
      <w:pPr>
        <w:widowControl w:val="1"/>
        <w:spacing w:after="0" w:line="264" w:lineRule="auto"/>
        <w:ind w:firstLine="600"/>
        <w:jc w:val="both"/>
        <w:rPr>
          <w:sz w:val="24"/>
        </w:rPr>
      </w:pPr>
      <w:r>
        <w:rPr>
          <w:rFonts w:ascii="Times New Roman" w:hAnsi="Times New Roman"/>
          <w:color w:val="000000"/>
          <w:sz w:val="24"/>
        </w:rPr>
        <w:t>В соответствии с указанными целями в структуре учебного курса «Вероятность и статистика» средней школы на базовом уровне выделены следующие основные содержательные линии: «Случайные события и вероятности», «Случайные величины и закон больших чисел».</w:t>
      </w:r>
    </w:p>
    <w:p w14:paraId="0B000000">
      <w:pPr>
        <w:widowControl w:val="1"/>
        <w:spacing w:after="0" w:line="264" w:lineRule="auto"/>
        <w:ind w:firstLine="600"/>
        <w:jc w:val="both"/>
        <w:rPr>
          <w:sz w:val="24"/>
        </w:rPr>
      </w:pPr>
      <w:r>
        <w:rPr>
          <w:rFonts w:ascii="Times New Roman" w:hAnsi="Times New Roman"/>
          <w:color w:val="000000"/>
          <w:sz w:val="24"/>
        </w:rPr>
        <w:t>Важную часть курса занимает изучение геометрического и биномиального распределений и знакомство с их непрерывными аналогами ― показательным и нормальным распределениями.</w:t>
      </w:r>
    </w:p>
    <w:p w14:paraId="0C000000">
      <w:pPr>
        <w:widowControl w:val="1"/>
        <w:spacing w:after="0" w:line="264" w:lineRule="auto"/>
        <w:ind w:firstLine="600"/>
        <w:jc w:val="both"/>
        <w:rPr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величин, а также эта линия необходима как база для изучения закона больших чисел – фундаментального закона, действующего в природе и обществе и имеющего математическую формализацию. Сам закон больших чисел предлагается в ознакомительной форме с минимальным использованием математического формализма. </w:t>
      </w:r>
    </w:p>
    <w:p w14:paraId="0D000000">
      <w:pPr>
        <w:widowControl w:val="1"/>
        <w:spacing w:after="0" w:line="264" w:lineRule="auto"/>
        <w:ind w:firstLine="600"/>
        <w:jc w:val="both"/>
        <w:rPr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Темы, связанные с непрерывными случайными величинами, акцентируют внимание школьников на описании и изучении случайных явлений с помощью непрерывных функций. Основное внимание уделяется показательному и нормальному распределениям, при этом предполагается ознакомительное изучение материала без доказательств применяемых фактов. </w:t>
      </w:r>
    </w:p>
    <w:p w14:paraId="0E000000">
      <w:pPr>
        <w:widowControl w:val="1"/>
        <w:spacing w:after="0" w:line="264" w:lineRule="auto"/>
        <w:ind w:left="120"/>
        <w:jc w:val="both"/>
        <w:rPr>
          <w:sz w:val="24"/>
        </w:rPr>
      </w:pPr>
    </w:p>
    <w:p w14:paraId="0F000000">
      <w:pPr>
        <w:widowControl w:val="1"/>
        <w:spacing w:after="0" w:line="264" w:lineRule="auto"/>
        <w:ind w:left="120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М</w:t>
      </w:r>
      <w:r>
        <w:rPr>
          <w:rFonts w:ascii="Times New Roman" w:hAnsi="Times New Roman"/>
          <w:b w:val="1"/>
          <w:sz w:val="24"/>
        </w:rPr>
        <w:t>есто курса в учебном плане</w:t>
      </w:r>
    </w:p>
    <w:p w14:paraId="10000000">
      <w:pPr>
        <w:widowControl w:val="1"/>
        <w:spacing w:after="0" w:line="264" w:lineRule="auto"/>
        <w:ind w:left="120"/>
        <w:jc w:val="both"/>
        <w:rPr>
          <w:sz w:val="24"/>
        </w:rPr>
      </w:pPr>
    </w:p>
    <w:p w14:paraId="11000000">
      <w:pPr>
        <w:widowControl w:val="1"/>
        <w:spacing w:after="0" w:line="264" w:lineRule="auto"/>
        <w:ind w:left="120"/>
        <w:jc w:val="both"/>
        <w:rPr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На изучение курса «Вероятность и статистика» на базовом уровне отводится 1 час в неделю в течение всего года обучения, всего 34 учебных часа.</w:t>
      </w:r>
    </w:p>
    <w:p w14:paraId="12000000">
      <w:pPr>
        <w:widowControl w:val="1"/>
        <w:spacing w:after="0" w:line="264" w:lineRule="auto"/>
        <w:ind w:left="120"/>
        <w:jc w:val="both"/>
        <w:rPr>
          <w:rFonts w:ascii="Times New Roman" w:hAnsi="Times New Roman"/>
          <w:color w:val="000000"/>
          <w:sz w:val="24"/>
        </w:rPr>
      </w:pPr>
    </w:p>
    <w:p w14:paraId="13000000">
      <w:pPr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   </w:t>
      </w:r>
      <w:r>
        <w:rPr>
          <w:rFonts w:ascii="Times New Roman" w:hAnsi="Times New Roman"/>
          <w:b w:val="1"/>
          <w:color w:val="000000"/>
          <w:sz w:val="24"/>
        </w:rPr>
        <w:t xml:space="preserve">Учебно – методическое обеспечение </w:t>
      </w:r>
      <w:r>
        <w:rPr>
          <w:rFonts w:ascii="Times New Roman" w:hAnsi="Times New Roman"/>
          <w:b w:val="1"/>
          <w:sz w:val="24"/>
        </w:rPr>
        <w:t>образовательного процесса</w:t>
      </w:r>
    </w:p>
    <w:p w14:paraId="14000000">
      <w:pPr>
        <w:widowControl w:val="1"/>
        <w:spacing w:after="0" w:line="480" w:lineRule="auto"/>
        <w:ind w:left="120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 Учебные материалы для </w:t>
      </w:r>
      <w:r>
        <w:rPr>
          <w:rFonts w:ascii="Times New Roman" w:hAnsi="Times New Roman"/>
          <w:b w:val="1"/>
          <w:sz w:val="24"/>
        </w:rPr>
        <w:t>обучающегося</w:t>
      </w:r>
    </w:p>
    <w:p w14:paraId="15000000">
      <w:pPr>
        <w:widowControl w:val="1"/>
        <w:numPr>
          <w:ilvl w:val="0"/>
          <w:numId w:val="1"/>
        </w:numPr>
        <w:spacing w:after="0" w:line="480" w:lineRule="auto"/>
        <w:ind w:hanging="142" w:left="284"/>
        <w:contextualSpacing w:val="1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Бунимович Е.А.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color w:val="000000"/>
          <w:sz w:val="24"/>
        </w:rPr>
        <w:t xml:space="preserve"> Математика. Вероятность и статистика : 11-й класс : базовый и углубленный уровни : учебное пособие /Москва : Просвещение, 2023. </w:t>
      </w:r>
    </w:p>
    <w:p w14:paraId="16000000">
      <w:pPr>
        <w:widowControl w:val="1"/>
        <w:numPr>
          <w:ilvl w:val="0"/>
          <w:numId w:val="1"/>
        </w:numPr>
        <w:spacing w:after="0" w:line="480" w:lineRule="auto"/>
        <w:ind w:hanging="142" w:left="284"/>
        <w:contextualSpacing w:val="1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sz w:val="24"/>
        </w:rPr>
        <w:t>Тюрин Ю.Н. и др.  Теория вероятностей и статистика. Экспериментальное учебное пособие для 10 и 11 классов общеобразовательных учреждений / Ю.Н.Тюрин, А.А.Макаров, И.Р.Высоцкий, И.В.Ященко.––М.: МЦНМО, 2014.––248 с</w:t>
      </w:r>
    </w:p>
    <w:p w14:paraId="17000000">
      <w:pPr>
        <w:widowControl w:val="1"/>
        <w:spacing w:after="0"/>
        <w:ind w:left="120"/>
        <w:rPr>
          <w:rFonts w:ascii="Times New Roman" w:hAnsi="Times New Roman"/>
          <w:sz w:val="24"/>
        </w:rPr>
      </w:pPr>
    </w:p>
    <w:p w14:paraId="18000000">
      <w:pPr>
        <w:widowControl w:val="1"/>
        <w:spacing w:after="0" w:line="480" w:lineRule="auto"/>
        <w:ind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Цифровые образовательные ресурсы и ресурсы сети Интернет </w:t>
      </w:r>
    </w:p>
    <w:p w14:paraId="19000000">
      <w:pPr>
        <w:widowControl w:val="1"/>
        <w:spacing w:after="0" w:line="480" w:lineRule="auto"/>
        <w:ind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www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edsoo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ru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www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infourok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ru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www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uchi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ru</w:t>
      </w:r>
      <w:r>
        <w:rPr>
          <w:rFonts w:ascii="Times New Roman" w:hAnsi="Times New Roman"/>
          <w:sz w:val="24"/>
        </w:rPr>
        <w:br/>
      </w:r>
    </w:p>
    <w:p w14:paraId="1A000000">
      <w:pPr>
        <w:widowControl w:val="1"/>
        <w:spacing w:after="0" w:line="480" w:lineRule="auto"/>
        <w:ind w:left="120"/>
        <w:rPr>
          <w:rFonts w:ascii="Times New Roman" w:hAnsi="Times New Roman"/>
          <w:sz w:val="24"/>
        </w:rPr>
      </w:pPr>
    </w:p>
    <w:p w14:paraId="1B000000">
      <w:pPr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                      </w:t>
      </w:r>
    </w:p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numFmt w:val="bullet"/>
      <w:lvlText w:val=""/>
      <w:pPr>
        <w:widowControl w:val="1"/>
        <w:ind w:hanging="360" w:left="720"/>
      </w:pPr>
      <w:rPr>
        <w:rFonts w:ascii="Symbol" w:hAnsi="Symbol"/>
      </w:rPr>
    </w:lvl>
    <w:lvl w:ilvl="1">
      <w:numFmt w:val="bullet"/>
      <w:lvlText w:val="o"/>
      <w:pPr>
        <w:widowControl w:val="1"/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widowControl w:val="1"/>
        <w:ind w:hanging="360" w:left="2160"/>
      </w:pPr>
      <w:rPr>
        <w:rFonts w:ascii="Wingdings" w:hAnsi="Wingdings"/>
      </w:rPr>
    </w:lvl>
    <w:lvl w:ilvl="3">
      <w:numFmt w:val="bullet"/>
      <w:lvlText w:val=""/>
      <w:pPr>
        <w:widowControl w:val="1"/>
        <w:ind w:hanging="360" w:left="2880"/>
      </w:pPr>
      <w:rPr>
        <w:rFonts w:ascii="Symbol" w:hAnsi="Symbol"/>
      </w:rPr>
    </w:lvl>
    <w:lvl w:ilvl="4">
      <w:numFmt w:val="bullet"/>
      <w:lvlText w:val="o"/>
      <w:pPr>
        <w:widowControl w:val="1"/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widowControl w:val="1"/>
        <w:ind w:hanging="360" w:left="4320"/>
      </w:pPr>
      <w:rPr>
        <w:rFonts w:ascii="Wingdings" w:hAnsi="Wingdings"/>
      </w:rPr>
    </w:lvl>
    <w:lvl w:ilvl="6">
      <w:numFmt w:val="bullet"/>
      <w:lvlText w:val=""/>
      <w:pPr>
        <w:widowControl w:val="1"/>
        <w:ind w:hanging="360" w:left="5040"/>
      </w:pPr>
      <w:rPr>
        <w:rFonts w:ascii="Symbol" w:hAnsi="Symbol"/>
      </w:rPr>
    </w:lvl>
    <w:lvl w:ilvl="7">
      <w:numFmt w:val="bullet"/>
      <w:lvlText w:val="o"/>
      <w:pPr>
        <w:widowControl w:val="1"/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widowControl w:val="1"/>
        <w:ind w:hanging="360" w:left="648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200" w:before="0" w:line="276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widowControl w:val="1"/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widowControl w:val="1"/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Default Paragraph Font"/>
    <w:link w:val="Style_4_ch"/>
  </w:style>
  <w:style w:styleId="Style_4_ch" w:type="character">
    <w:name w:val="Default Paragraph Font"/>
    <w:link w:val="Style_4"/>
  </w:style>
  <w:style w:styleId="Style_5" w:type="paragraph">
    <w:name w:val="toc 6"/>
    <w:next w:val="Style_1"/>
    <w:link w:val="Style_5_ch"/>
    <w:uiPriority w:val="39"/>
    <w:pPr>
      <w:widowControl w:val="1"/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1"/>
    <w:link w:val="Style_6_ch"/>
    <w:uiPriority w:val="39"/>
    <w:pPr>
      <w:widowControl w:val="1"/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Endnote"/>
    <w:link w:val="Style_7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7_ch" w:type="character">
    <w:name w:val="Endnote"/>
    <w:link w:val="Style_7"/>
    <w:rPr>
      <w:rFonts w:ascii="XO Thames" w:hAnsi="XO Thames"/>
      <w:sz w:val="22"/>
    </w:rPr>
  </w:style>
  <w:style w:styleId="Style_8" w:type="paragraph">
    <w:name w:val="heading 3"/>
    <w:next w:val="Style_1"/>
    <w:link w:val="Style_8_ch"/>
    <w:uiPriority w:val="9"/>
    <w:qFormat/>
    <w:pPr>
      <w:widowControl w:val="1"/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9" w:type="paragraph">
    <w:name w:val="toc 3"/>
    <w:next w:val="Style_1"/>
    <w:link w:val="Style_9_ch"/>
    <w:uiPriority w:val="39"/>
    <w:pPr>
      <w:widowControl w:val="1"/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0" w:type="paragraph">
    <w:name w:val="heading 5"/>
    <w:next w:val="Style_1"/>
    <w:link w:val="Style_10_ch"/>
    <w:uiPriority w:val="9"/>
    <w:qFormat/>
    <w:pPr>
      <w:widowControl w:val="1"/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0_ch" w:type="character">
    <w:name w:val="heading 5"/>
    <w:link w:val="Style_10"/>
    <w:rPr>
      <w:rFonts w:ascii="XO Thames" w:hAnsi="XO Thames"/>
      <w:b w:val="1"/>
      <w:sz w:val="22"/>
    </w:rPr>
  </w:style>
  <w:style w:styleId="Style_11" w:type="paragraph">
    <w:name w:val="heading 1"/>
    <w:next w:val="Style_1"/>
    <w:link w:val="Style_11_ch"/>
    <w:uiPriority w:val="9"/>
    <w:qFormat/>
    <w:pPr>
      <w:widowControl w:val="1"/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2" w:type="paragraph">
    <w:name w:val="Hyperlink"/>
    <w:basedOn w:val="Style_4"/>
    <w:link w:val="Style_12_ch"/>
    <w:rPr>
      <w:color w:themeColor="hyperlink" w:val="0000FF"/>
      <w:u w:val="single"/>
    </w:rPr>
  </w:style>
  <w:style w:styleId="Style_12_ch" w:type="character">
    <w:name w:val="Hyperlink"/>
    <w:basedOn w:val="Style_4_ch"/>
    <w:link w:val="Style_12"/>
    <w:rPr>
      <w:color w:themeColor="hyperlink" w:val="0000FF"/>
      <w:u w:val="single"/>
    </w:rPr>
  </w:style>
  <w:style w:styleId="Style_13" w:type="paragraph">
    <w:name w:val="Footnote"/>
    <w:link w:val="Style_13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1"/>
    <w:link w:val="Style_14_ch"/>
    <w:uiPriority w:val="39"/>
    <w:pPr>
      <w:widowControl w:val="1"/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5" w:type="paragraph">
    <w:name w:val="Header and Footer"/>
    <w:link w:val="Style_15_ch"/>
    <w:pPr>
      <w:widowControl w:val="1"/>
      <w:spacing w:line="240" w:lineRule="auto"/>
      <w:ind/>
      <w:jc w:val="both"/>
    </w:pPr>
    <w:rPr>
      <w:rFonts w:ascii="XO Thames" w:hAnsi="XO Thames"/>
      <w:sz w:val="28"/>
    </w:rPr>
  </w:style>
  <w:style w:styleId="Style_15_ch" w:type="character">
    <w:name w:val="Header and Footer"/>
    <w:link w:val="Style_15"/>
    <w:rPr>
      <w:rFonts w:ascii="XO Thames" w:hAnsi="XO Thames"/>
      <w:sz w:val="28"/>
    </w:rPr>
  </w:style>
  <w:style w:styleId="Style_16" w:type="paragraph">
    <w:name w:val="toc 9"/>
    <w:next w:val="Style_1"/>
    <w:link w:val="Style_16_ch"/>
    <w:uiPriority w:val="39"/>
    <w:pPr>
      <w:widowControl w:val="1"/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toc 8"/>
    <w:next w:val="Style_1"/>
    <w:link w:val="Style_17_ch"/>
    <w:uiPriority w:val="39"/>
    <w:pPr>
      <w:widowControl w:val="1"/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18" w:type="paragraph">
    <w:name w:val="toc 5"/>
    <w:next w:val="Style_1"/>
    <w:link w:val="Style_18_ch"/>
    <w:uiPriority w:val="39"/>
    <w:pPr>
      <w:widowControl w:val="1"/>
      <w:ind w:firstLine="0" w:left="800"/>
      <w:jc w:val="left"/>
    </w:pPr>
    <w:rPr>
      <w:rFonts w:ascii="XO Thames" w:hAnsi="XO Thames"/>
      <w:sz w:val="28"/>
    </w:rPr>
  </w:style>
  <w:style w:styleId="Style_18_ch" w:type="character">
    <w:name w:val="toc 5"/>
    <w:link w:val="Style_18"/>
    <w:rPr>
      <w:rFonts w:ascii="XO Thames" w:hAnsi="XO Thames"/>
      <w:sz w:val="28"/>
    </w:rPr>
  </w:style>
  <w:style w:styleId="Style_19" w:type="paragraph">
    <w:name w:val="Subtitle"/>
    <w:next w:val="Style_1"/>
    <w:link w:val="Style_19_ch"/>
    <w:uiPriority w:val="11"/>
    <w:qFormat/>
    <w:pPr>
      <w:widowControl w:val="1"/>
      <w:ind/>
      <w:jc w:val="both"/>
    </w:pPr>
    <w:rPr>
      <w:rFonts w:ascii="XO Thames" w:hAnsi="XO Thames"/>
      <w:i w:val="1"/>
      <w:sz w:val="24"/>
    </w:rPr>
  </w:style>
  <w:style w:styleId="Style_19_ch" w:type="character">
    <w:name w:val="Subtitle"/>
    <w:link w:val="Style_19"/>
    <w:rPr>
      <w:rFonts w:ascii="XO Thames" w:hAnsi="XO Thames"/>
      <w:i w:val="1"/>
      <w:sz w:val="24"/>
    </w:rPr>
  </w:style>
  <w:style w:styleId="Style_20" w:type="paragraph">
    <w:name w:val="Title"/>
    <w:next w:val="Style_1"/>
    <w:link w:val="Style_20_ch"/>
    <w:uiPriority w:val="10"/>
    <w:qFormat/>
    <w:pPr>
      <w:widowControl w:val="1"/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0_ch" w:type="character">
    <w:name w:val="Title"/>
    <w:link w:val="Style_20"/>
    <w:rPr>
      <w:rFonts w:ascii="XO Thames" w:hAnsi="XO Thames"/>
      <w:b w:val="1"/>
      <w:caps w:val="1"/>
      <w:sz w:val="40"/>
    </w:rPr>
  </w:style>
  <w:style w:styleId="Style_21" w:type="paragraph">
    <w:name w:val="heading 4"/>
    <w:next w:val="Style_1"/>
    <w:link w:val="Style_21_ch"/>
    <w:uiPriority w:val="9"/>
    <w:qFormat/>
    <w:pPr>
      <w:widowControl w:val="1"/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1_ch" w:type="character">
    <w:name w:val="heading 4"/>
    <w:link w:val="Style_21"/>
    <w:rPr>
      <w:rFonts w:ascii="XO Thames" w:hAnsi="XO Thames"/>
      <w:b w:val="1"/>
      <w:sz w:val="24"/>
    </w:rPr>
  </w:style>
  <w:style w:styleId="Style_22" w:type="paragraph">
    <w:name w:val="heading 2"/>
    <w:next w:val="Style_1"/>
    <w:link w:val="Style_22_ch"/>
    <w:uiPriority w:val="9"/>
    <w:qFormat/>
    <w:pPr>
      <w:widowControl w:val="1"/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2_ch" w:type="character">
    <w:name w:val="heading 2"/>
    <w:link w:val="Style_22"/>
    <w:rPr>
      <w:rFonts w:ascii="XO Thames" w:hAnsi="XO Thames"/>
      <w:b w:val="1"/>
      <w:sz w:val="28"/>
    </w:rPr>
  </w:style>
  <w:style w:default="1" w:styleId="Style_23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24" w:type="table">
    <w:name w:val="Table Grid"/>
    <w:basedOn w:val="Style_23"/>
    <w:pPr>
      <w:widowControl w:val="1"/>
      <w:spacing w:after="0" w:line="240" w:lineRule="auto"/>
      <w:ind/>
    </w:pPr>
    <w:tblPr>
      <w:tblInd w:type="dxa" w:w="0"/>
      <w:tblBorders>
        <w:top w:sz="4" w:themeColor="text1" w:val="single"/>
        <w:left w:sz="4" w:themeColor="text1" w:val="single"/>
        <w:bottom w:sz="4" w:themeColor="text1" w:val="single"/>
        <w:right w:sz="4" w:themeColor="text1" w:val="single"/>
        <w:insideH w:sz="4" w:themeColor="text1" w:val="single"/>
        <w:insideV w:sz="4" w:themeColor="text1" w:val="single"/>
      </w:tblBorders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7" Target="numbering.xml" Type="http://schemas.openxmlformats.org/officeDocument/2006/relationships/numbering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2016-01-12T15:01:00Z</dcterms:created>
  <dcterms:modified xsi:type="dcterms:W3CDTF">2025-09-26T07:53:32Z</dcterms:modified>
</cp:coreProperties>
</file>